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B750" w14:textId="35FE4A70" w:rsidR="001E2F62" w:rsidRPr="00F03584" w:rsidRDefault="001E2F62" w:rsidP="001E2F62">
      <w:pPr>
        <w:spacing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  <w:r w:rsidRPr="00F03584">
        <w:rPr>
          <w:rFonts w:ascii="Arial" w:hAnsi="Arial" w:cs="Arial"/>
          <w:b/>
          <w:bCs/>
          <w:sz w:val="16"/>
          <w:szCs w:val="16"/>
        </w:rPr>
        <w:t>ANEXO II PLANILHA DE COMPOSIÇÃO DO BDI</w:t>
      </w:r>
    </w:p>
    <w:p w14:paraId="0A1D45B1" w14:textId="77777777" w:rsidR="001E2F62" w:rsidRPr="00F03584" w:rsidRDefault="001E2F62" w:rsidP="001E2F62">
      <w:pPr>
        <w:spacing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  <w:r w:rsidRPr="00F03584">
        <w:rPr>
          <w:rFonts w:ascii="Arial" w:hAnsi="Arial" w:cs="Arial"/>
          <w:b/>
          <w:bCs/>
          <w:sz w:val="16"/>
          <w:szCs w:val="16"/>
        </w:rPr>
        <w:t>P.A.L. Nº 068/2024</w:t>
      </w:r>
    </w:p>
    <w:p w14:paraId="200751AC" w14:textId="77777777" w:rsidR="001E2F62" w:rsidRPr="00F03584" w:rsidRDefault="001E2F62" w:rsidP="001E2F62">
      <w:pPr>
        <w:spacing w:line="276" w:lineRule="auto"/>
        <w:ind w:left="360"/>
        <w:jc w:val="center"/>
        <w:rPr>
          <w:rFonts w:ascii="Arial" w:hAnsi="Arial" w:cs="Arial"/>
          <w:b/>
          <w:sz w:val="16"/>
          <w:szCs w:val="16"/>
        </w:rPr>
      </w:pPr>
      <w:r w:rsidRPr="00F03584">
        <w:rPr>
          <w:rFonts w:ascii="Arial" w:hAnsi="Arial" w:cs="Arial"/>
          <w:b/>
          <w:sz w:val="16"/>
          <w:szCs w:val="16"/>
        </w:rPr>
        <w:t>TABELA BDI – TABELA DAS TAXAS MÁXIMAS ACEITÁVEIS PARA POSSÍVEIS CÁLCULOS DE BDI PARA OS PREÇOS DOS SERVIÇOS E OU MATERIAIS PARA O COREN/MS</w:t>
      </w:r>
    </w:p>
    <w:p w14:paraId="53D4FA11" w14:textId="75EBD0AF" w:rsidR="001E2F62" w:rsidRPr="00CC4A2D" w:rsidRDefault="001E2F62" w:rsidP="001E2F62">
      <w:pPr>
        <w:spacing w:after="12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1E2F62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45B4B57F" wp14:editId="55D3D8F2">
            <wp:extent cx="3609975" cy="4176688"/>
            <wp:effectExtent l="0" t="0" r="0" b="0"/>
            <wp:docPr id="13124694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559" cy="418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A3C10" w14:textId="77777777" w:rsidR="001E2F62" w:rsidRPr="00CC4A2D" w:rsidRDefault="001E2F62" w:rsidP="001E2F62">
      <w:pPr>
        <w:spacing w:after="12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CC4A2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BDAB15C" wp14:editId="775498C8">
            <wp:extent cx="5029200" cy="964133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30" b="17075"/>
                    <a:stretch/>
                  </pic:blipFill>
                  <pic:spPr bwMode="auto">
                    <a:xfrm>
                      <a:off x="0" y="0"/>
                      <a:ext cx="5076605" cy="97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2EFC24" w14:textId="77777777" w:rsidR="001E2F62" w:rsidRPr="00F03584" w:rsidRDefault="001E2F62" w:rsidP="001E2F62">
      <w:pPr>
        <w:jc w:val="both"/>
        <w:rPr>
          <w:rFonts w:ascii="Arial" w:hAnsi="Arial" w:cs="Arial"/>
          <w:b/>
          <w:sz w:val="16"/>
          <w:szCs w:val="16"/>
        </w:rPr>
      </w:pPr>
      <w:r w:rsidRPr="00F03584">
        <w:rPr>
          <w:rFonts w:ascii="Arial" w:hAnsi="Arial" w:cs="Arial"/>
          <w:b/>
          <w:sz w:val="16"/>
          <w:szCs w:val="16"/>
        </w:rPr>
        <w:t>FÓRMULA A SER APLICADA PARA CÁLCULO DO BDI PARA SERVIÇOS E MATERIAIS:</w:t>
      </w:r>
    </w:p>
    <w:p w14:paraId="7B8BD21B" w14:textId="77777777" w:rsidR="001E2F62" w:rsidRPr="00F03584" w:rsidRDefault="001E2F62" w:rsidP="001E2F62">
      <w:pPr>
        <w:jc w:val="both"/>
        <w:rPr>
          <w:rFonts w:ascii="Arial" w:hAnsi="Arial" w:cs="Arial"/>
          <w:b/>
          <w:sz w:val="16"/>
          <w:szCs w:val="16"/>
        </w:rPr>
      </w:pPr>
      <w:r w:rsidRPr="00F03584">
        <w:rPr>
          <w:rFonts w:ascii="Arial" w:hAnsi="Arial" w:cs="Arial"/>
          <w:b/>
          <w:sz w:val="16"/>
          <w:szCs w:val="16"/>
        </w:rPr>
        <w:t>BDI = ((1+AC.+SR+G) (1+DF) (1+L)) / (1-(PIS+COFINS+ISS+CPRB)) -(1)</w:t>
      </w:r>
    </w:p>
    <w:p w14:paraId="3E085EA1" w14:textId="77777777" w:rsidR="001E2F62" w:rsidRPr="00F03584" w:rsidRDefault="001E2F62" w:rsidP="001E2F62">
      <w:pPr>
        <w:jc w:val="both"/>
        <w:rPr>
          <w:rFonts w:ascii="Arial" w:hAnsi="Arial" w:cs="Arial"/>
          <w:sz w:val="16"/>
          <w:szCs w:val="16"/>
        </w:rPr>
      </w:pPr>
      <w:r w:rsidRPr="00F03584">
        <w:rPr>
          <w:rFonts w:ascii="Arial" w:hAnsi="Arial" w:cs="Arial"/>
          <w:sz w:val="16"/>
          <w:szCs w:val="16"/>
        </w:rPr>
        <w:t>Esta tabela foi elaborada com base nos estudos do:</w:t>
      </w:r>
    </w:p>
    <w:p w14:paraId="6223140A" w14:textId="77777777" w:rsidR="001E2F62" w:rsidRPr="00F03584" w:rsidRDefault="001E2F62" w:rsidP="001E2F62">
      <w:pPr>
        <w:jc w:val="both"/>
        <w:rPr>
          <w:rFonts w:ascii="Arial" w:hAnsi="Arial" w:cs="Arial"/>
          <w:sz w:val="16"/>
          <w:szCs w:val="16"/>
        </w:rPr>
      </w:pPr>
      <w:r w:rsidRPr="00F03584">
        <w:rPr>
          <w:rFonts w:ascii="Arial" w:hAnsi="Arial" w:cs="Arial"/>
          <w:sz w:val="16"/>
          <w:szCs w:val="16"/>
        </w:rPr>
        <w:t>TC 036.076/2011-2</w:t>
      </w:r>
    </w:p>
    <w:p w14:paraId="76C49D65" w14:textId="77777777" w:rsidR="001E2F62" w:rsidRPr="00F03584" w:rsidRDefault="001E2F62" w:rsidP="001E2F62">
      <w:pPr>
        <w:jc w:val="both"/>
        <w:rPr>
          <w:rFonts w:ascii="Arial" w:hAnsi="Arial" w:cs="Arial"/>
          <w:sz w:val="16"/>
          <w:szCs w:val="16"/>
        </w:rPr>
      </w:pPr>
      <w:r w:rsidRPr="00F03584">
        <w:rPr>
          <w:rFonts w:ascii="Arial" w:hAnsi="Arial" w:cs="Arial"/>
          <w:sz w:val="16"/>
          <w:szCs w:val="16"/>
        </w:rPr>
        <w:t xml:space="preserve">Ministro Relator: Marcos </w:t>
      </w:r>
      <w:proofErr w:type="spellStart"/>
      <w:r w:rsidRPr="00F03584">
        <w:rPr>
          <w:rFonts w:ascii="Arial" w:hAnsi="Arial" w:cs="Arial"/>
          <w:sz w:val="16"/>
          <w:szCs w:val="16"/>
        </w:rPr>
        <w:t>Bemquerer</w:t>
      </w:r>
      <w:proofErr w:type="spellEnd"/>
      <w:r w:rsidRPr="00F03584">
        <w:rPr>
          <w:rFonts w:ascii="Arial" w:hAnsi="Arial" w:cs="Arial"/>
          <w:sz w:val="16"/>
          <w:szCs w:val="16"/>
        </w:rPr>
        <w:t xml:space="preserve"> Costa</w:t>
      </w:r>
    </w:p>
    <w:p w14:paraId="6FD71CC1" w14:textId="77777777" w:rsidR="001E2F62" w:rsidRPr="00F03584" w:rsidRDefault="001E2F62" w:rsidP="001E2F62">
      <w:pPr>
        <w:jc w:val="both"/>
        <w:rPr>
          <w:rFonts w:ascii="Arial" w:hAnsi="Arial" w:cs="Arial"/>
          <w:sz w:val="16"/>
          <w:szCs w:val="16"/>
        </w:rPr>
      </w:pPr>
      <w:r w:rsidRPr="00F03584">
        <w:rPr>
          <w:rFonts w:ascii="Arial" w:hAnsi="Arial" w:cs="Arial"/>
          <w:sz w:val="16"/>
          <w:szCs w:val="16"/>
        </w:rPr>
        <w:t>Natureza: Administrativo</w:t>
      </w:r>
    </w:p>
    <w:p w14:paraId="2A771C10" w14:textId="77777777" w:rsidR="001E2F62" w:rsidRPr="00F03584" w:rsidRDefault="001E2F62" w:rsidP="001E2F62">
      <w:pPr>
        <w:jc w:val="both"/>
        <w:rPr>
          <w:rFonts w:ascii="Arial" w:hAnsi="Arial" w:cs="Arial"/>
          <w:sz w:val="16"/>
          <w:szCs w:val="16"/>
        </w:rPr>
      </w:pPr>
      <w:r w:rsidRPr="00F03584">
        <w:rPr>
          <w:rFonts w:ascii="Arial" w:hAnsi="Arial" w:cs="Arial"/>
          <w:sz w:val="16"/>
          <w:szCs w:val="16"/>
        </w:rPr>
        <w:t>Ato originário: Acórdão 2.369/2011-TCU-Plenário</w:t>
      </w:r>
    </w:p>
    <w:p w14:paraId="367C66B5" w14:textId="77777777" w:rsidR="001E2F62" w:rsidRPr="00F03584" w:rsidRDefault="001E2F62" w:rsidP="001E2F62">
      <w:pPr>
        <w:jc w:val="both"/>
        <w:rPr>
          <w:rFonts w:ascii="Arial" w:hAnsi="Arial" w:cs="Arial"/>
          <w:sz w:val="16"/>
          <w:szCs w:val="16"/>
        </w:rPr>
      </w:pPr>
      <w:r w:rsidRPr="00F03584">
        <w:rPr>
          <w:rFonts w:ascii="Arial" w:hAnsi="Arial" w:cs="Arial"/>
          <w:sz w:val="16"/>
          <w:szCs w:val="16"/>
        </w:rPr>
        <w:t>Objetivo: Realizar estudos com vistas a definir as taxas de BDI aceitáveis para diferentes tipos de obras e serviços de engenharia e para fornecimento de materiais e equipamentos relevantes.</w:t>
      </w:r>
    </w:p>
    <w:p w14:paraId="5D7CFFE0" w14:textId="77777777" w:rsidR="001E2F62" w:rsidRPr="00F03584" w:rsidRDefault="001E2F62" w:rsidP="001E2F62">
      <w:pPr>
        <w:jc w:val="both"/>
        <w:rPr>
          <w:rFonts w:ascii="Arial" w:hAnsi="Arial" w:cs="Arial"/>
          <w:sz w:val="16"/>
          <w:szCs w:val="16"/>
        </w:rPr>
      </w:pPr>
      <w:r w:rsidRPr="00F03584">
        <w:rPr>
          <w:rFonts w:ascii="Arial" w:hAnsi="Arial" w:cs="Arial"/>
          <w:sz w:val="16"/>
          <w:szCs w:val="16"/>
        </w:rPr>
        <w:t>Atos de designação: Portarias-</w:t>
      </w:r>
      <w:proofErr w:type="spellStart"/>
      <w:r w:rsidRPr="00F03584">
        <w:rPr>
          <w:rFonts w:ascii="Arial" w:hAnsi="Arial" w:cs="Arial"/>
          <w:sz w:val="16"/>
          <w:szCs w:val="16"/>
        </w:rPr>
        <w:t>Segecex</w:t>
      </w:r>
      <w:proofErr w:type="spellEnd"/>
      <w:r w:rsidRPr="00F03584">
        <w:rPr>
          <w:rFonts w:ascii="Arial" w:hAnsi="Arial" w:cs="Arial"/>
          <w:sz w:val="16"/>
          <w:szCs w:val="16"/>
        </w:rPr>
        <w:t xml:space="preserve"> 34/2011 e 29/2012</w:t>
      </w:r>
    </w:p>
    <w:p w14:paraId="1F711137" w14:textId="77777777" w:rsidR="001E2F62" w:rsidRPr="00F03584" w:rsidRDefault="001E2F62" w:rsidP="001E2F62">
      <w:pPr>
        <w:jc w:val="both"/>
        <w:rPr>
          <w:rFonts w:ascii="Arial" w:hAnsi="Arial" w:cs="Arial"/>
          <w:sz w:val="16"/>
          <w:szCs w:val="16"/>
        </w:rPr>
      </w:pPr>
      <w:r w:rsidRPr="00F03584">
        <w:rPr>
          <w:rFonts w:ascii="Arial" w:hAnsi="Arial" w:cs="Arial"/>
          <w:sz w:val="16"/>
          <w:szCs w:val="16"/>
        </w:rPr>
        <w:t>Período: 3/10 a 18/3/2012 e 29/10 a 31/5/2013</w:t>
      </w:r>
    </w:p>
    <w:p w14:paraId="4FAE207B" w14:textId="77777777" w:rsidR="001E2F62" w:rsidRPr="00F03584" w:rsidRDefault="001E2F62" w:rsidP="001E2F62">
      <w:pPr>
        <w:jc w:val="both"/>
        <w:rPr>
          <w:rFonts w:ascii="Arial" w:hAnsi="Arial" w:cs="Arial"/>
          <w:sz w:val="16"/>
          <w:szCs w:val="16"/>
        </w:rPr>
      </w:pPr>
      <w:r w:rsidRPr="00F03584">
        <w:rPr>
          <w:rFonts w:ascii="Arial" w:hAnsi="Arial" w:cs="Arial"/>
          <w:sz w:val="16"/>
          <w:szCs w:val="16"/>
        </w:rPr>
        <w:t>E Acórdão nº 2622/2013 – TCU – Plenário</w:t>
      </w:r>
    </w:p>
    <w:p w14:paraId="3E15B4CF" w14:textId="77777777" w:rsidR="001E2F62" w:rsidRDefault="001E2F62"/>
    <w:sectPr w:rsidR="001E2F6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6FD04" w14:textId="77777777" w:rsidR="00F03584" w:rsidRDefault="00F03584" w:rsidP="00F03584">
      <w:r>
        <w:separator/>
      </w:r>
    </w:p>
  </w:endnote>
  <w:endnote w:type="continuationSeparator" w:id="0">
    <w:p w14:paraId="0341FB14" w14:textId="77777777" w:rsidR="00F03584" w:rsidRDefault="00F03584" w:rsidP="00F0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934F" w14:textId="77777777" w:rsidR="00F03584" w:rsidRPr="00282966" w:rsidRDefault="00F03584" w:rsidP="00F03584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A21257A" w14:textId="77777777" w:rsidR="00F03584" w:rsidRDefault="00F03584" w:rsidP="00F03584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AD30E8" wp14:editId="6039D732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FB9D1" w14:textId="77777777" w:rsidR="00F03584" w:rsidRDefault="00F03584" w:rsidP="00F0358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3083F7F" w14:textId="77777777" w:rsidR="00F03584" w:rsidRPr="001424EE" w:rsidRDefault="00F03584" w:rsidP="00F0358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D30E8" id="Retângulo 1" o:spid="_x0000_s1027" style="position:absolute;left:0;text-align:left;margin-left:526.15pt;margin-top:708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/Q0wnhAAAADwEAAA8AAAAAAAAAAAAAAAAARQQAAGRycy9k&#10;b3ducmV2LnhtbFBLBQYAAAAABAAEAPMAAABTBQAAAAA=&#10;" stroked="f">
              <v:textbox>
                <w:txbxContent>
                  <w:p w14:paraId="247FB9D1" w14:textId="77777777" w:rsidR="00F03584" w:rsidRDefault="00F03584" w:rsidP="00F0358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3083F7F" w14:textId="77777777" w:rsidR="00F03584" w:rsidRPr="001424EE" w:rsidRDefault="00F03584" w:rsidP="00F0358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 xml:space="preserve">Dourados/MS </w:t>
    </w:r>
    <w:proofErr w:type="gramStart"/>
    <w:r w:rsidRPr="005C70F4">
      <w:rPr>
        <w:rFonts w:ascii="Times New Roman" w:hAnsi="Times New Roman" w:cs="Times New Roman"/>
        <w:color w:val="auto"/>
        <w:sz w:val="16"/>
        <w:szCs w:val="16"/>
      </w:rPr>
      <w:t>-  Rua</w:t>
    </w:r>
    <w:proofErr w:type="gramEnd"/>
    <w:r w:rsidRPr="005C70F4">
      <w:rPr>
        <w:rFonts w:ascii="Times New Roman" w:hAnsi="Times New Roman" w:cs="Times New Roman"/>
        <w:color w:val="auto"/>
        <w:sz w:val="16"/>
        <w:szCs w:val="16"/>
      </w:rPr>
      <w:t xml:space="preserve"> Hilda </w:t>
    </w:r>
    <w:proofErr w:type="spellStart"/>
    <w:r w:rsidRPr="005C70F4">
      <w:rPr>
        <w:rFonts w:ascii="Times New Roman" w:hAnsi="Times New Roman" w:cs="Times New Roman"/>
        <w:color w:val="auto"/>
        <w:sz w:val="16"/>
        <w:szCs w:val="16"/>
      </w:rPr>
      <w:t>Bergo</w:t>
    </w:r>
    <w:proofErr w:type="spellEnd"/>
    <w:r w:rsidRPr="005C70F4">
      <w:rPr>
        <w:rFonts w:ascii="Times New Roman" w:hAnsi="Times New Roman" w:cs="Times New Roman"/>
        <w:color w:val="auto"/>
        <w:sz w:val="16"/>
        <w:szCs w:val="16"/>
      </w:rPr>
      <w:t xml:space="preserve">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14:paraId="24A782D4" w14:textId="77777777" w:rsidR="00F03584" w:rsidRDefault="00F03584" w:rsidP="00F03584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4952B9C2" w14:textId="77777777" w:rsidR="00F03584" w:rsidRDefault="00F03584" w:rsidP="00F03584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14467846" w14:textId="77777777" w:rsidR="00F03584" w:rsidRDefault="00F035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0929" w14:textId="77777777" w:rsidR="00F03584" w:rsidRDefault="00F03584" w:rsidP="00F03584">
      <w:r>
        <w:separator/>
      </w:r>
    </w:p>
  </w:footnote>
  <w:footnote w:type="continuationSeparator" w:id="0">
    <w:p w14:paraId="52B8A022" w14:textId="77777777" w:rsidR="00F03584" w:rsidRDefault="00F03584" w:rsidP="00F03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C5FA" w14:textId="77777777" w:rsidR="00F03584" w:rsidRDefault="00F03584" w:rsidP="00F03584">
    <w:pPr>
      <w:jc w:val="center"/>
      <w:rPr>
        <w:rFonts w:cs="Arial"/>
        <w:b/>
        <w:bCs/>
      </w:rPr>
    </w:pPr>
    <w:r>
      <w:rPr>
        <w:rFonts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4F763924" wp14:editId="057B0A06">
          <wp:simplePos x="0" y="0"/>
          <wp:positionH relativeFrom="column">
            <wp:posOffset>1243965</wp:posOffset>
          </wp:positionH>
          <wp:positionV relativeFrom="paragraph">
            <wp:posOffset>18415</wp:posOffset>
          </wp:positionV>
          <wp:extent cx="3071495" cy="833120"/>
          <wp:effectExtent l="0" t="0" r="0" b="508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49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3C49E4" wp14:editId="0FEB9522">
              <wp:simplePos x="0" y="0"/>
              <wp:positionH relativeFrom="column">
                <wp:posOffset>4872989</wp:posOffset>
              </wp:positionH>
              <wp:positionV relativeFrom="paragraph">
                <wp:posOffset>16510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D04F0DE" w14:textId="77777777" w:rsidR="00F03584" w:rsidRPr="00AA59B7" w:rsidRDefault="00F03584" w:rsidP="00F03584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31995229" w14:textId="77777777" w:rsidR="00F03584" w:rsidRPr="00AA59B7" w:rsidRDefault="00F03584" w:rsidP="00F03584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61F1BCBE" w14:textId="77777777" w:rsidR="00F03584" w:rsidRDefault="00F03584" w:rsidP="00F03584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C49E4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6" type="#_x0000_t202" style="position:absolute;left:0;text-align:left;margin-left:383.7pt;margin-top:1.3pt;width:69.7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CEIAIAABw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" filled="f" stroked="f" strokeweight="1pt">
              <v:textbox>
                <w:txbxContent>
                  <w:p w14:paraId="2D04F0DE" w14:textId="77777777" w:rsidR="00F03584" w:rsidRPr="00AA59B7" w:rsidRDefault="00F03584" w:rsidP="00F03584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31995229" w14:textId="77777777" w:rsidR="00F03584" w:rsidRPr="00AA59B7" w:rsidRDefault="00F03584" w:rsidP="00F03584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61F1BCBE" w14:textId="77777777" w:rsidR="00F03584" w:rsidRDefault="00F03584" w:rsidP="00F03584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bCs/>
      </w:rPr>
      <w:t>Conselho Regional de Enfermagem de Mato Grosso do Sul</w:t>
    </w:r>
  </w:p>
  <w:p w14:paraId="57FAE6D4" w14:textId="77777777" w:rsidR="00F03584" w:rsidRDefault="00F03584" w:rsidP="00F03584">
    <w:pPr>
      <w:jc w:val="center"/>
    </w:pPr>
    <w:r>
      <w:rPr>
        <w:rFonts w:cs="Arial"/>
        <w:szCs w:val="20"/>
      </w:rPr>
      <w:t>Sistema Coren/Conselhos Regionais - Autarquia Federal criada pela Lei Nº 5. 905/73</w:t>
    </w:r>
  </w:p>
  <w:p w14:paraId="4A67E9CA" w14:textId="77777777" w:rsidR="00F03584" w:rsidRPr="00F03584" w:rsidRDefault="00F03584" w:rsidP="00F035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62"/>
    <w:rsid w:val="001E2F62"/>
    <w:rsid w:val="00F0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D78A"/>
  <w15:chartTrackingRefBased/>
  <w15:docId w15:val="{65723EC8-F88C-4928-BBA6-D7F03FC8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F62"/>
    <w:pPr>
      <w:suppressAutoHyphens/>
      <w:spacing w:after="0" w:line="240" w:lineRule="auto"/>
    </w:pPr>
    <w:rPr>
      <w:rFonts w:ascii="Ecofont_Spranq_eco_Sans" w:eastAsia="Times New Roman" w:hAnsi="Ecofont_Spranq_eco_Sans" w:cs="Tahoma"/>
      <w:kern w:val="0"/>
      <w:sz w:val="24"/>
      <w:szCs w:val="24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3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3584"/>
    <w:rPr>
      <w:rFonts w:ascii="Ecofont_Spranq_eco_Sans" w:eastAsia="Times New Roman" w:hAnsi="Ecofont_Spranq_eco_Sans" w:cs="Tahoma"/>
      <w:kern w:val="0"/>
      <w:sz w:val="24"/>
      <w:szCs w:val="24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03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3584"/>
    <w:rPr>
      <w:rFonts w:ascii="Ecofont_Spranq_eco_Sans" w:eastAsia="Times New Roman" w:hAnsi="Ecofont_Spranq_eco_Sans" w:cs="Tahoma"/>
      <w:kern w:val="0"/>
      <w:sz w:val="24"/>
      <w:szCs w:val="24"/>
      <w:lang w:eastAsia="zh-CN"/>
      <w14:ligatures w14:val="none"/>
    </w:rPr>
  </w:style>
  <w:style w:type="character" w:styleId="Hyperlink">
    <w:name w:val="Hyperlink"/>
    <w:uiPriority w:val="99"/>
    <w:rsid w:val="00F03584"/>
    <w:rPr>
      <w:color w:val="000080"/>
      <w:u w:val="single"/>
    </w:rPr>
  </w:style>
  <w:style w:type="paragraph" w:customStyle="1" w:styleId="Rodap1">
    <w:name w:val="Rodapé1"/>
    <w:uiPriority w:val="99"/>
    <w:rsid w:val="00F03584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2</cp:revision>
  <dcterms:created xsi:type="dcterms:W3CDTF">2024-04-04T15:11:00Z</dcterms:created>
  <dcterms:modified xsi:type="dcterms:W3CDTF">2024-04-04T15:15:00Z</dcterms:modified>
</cp:coreProperties>
</file>