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C20E7A">
        <w:rPr>
          <w:b/>
          <w:caps/>
          <w:sz w:val="24"/>
          <w:szCs w:val="24"/>
        </w:rPr>
        <w:t>276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C20E7A">
        <w:rPr>
          <w:b/>
          <w:caps/>
          <w:sz w:val="24"/>
          <w:szCs w:val="24"/>
        </w:rPr>
        <w:t>7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20E7A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E21B3D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>a Resolução Cofen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8A186A">
        <w:rPr>
          <w:rFonts w:ascii="Times New Roman" w:hAnsi="Times New Roman" w:cs="Times New Roman"/>
          <w:sz w:val="24"/>
          <w:szCs w:val="24"/>
        </w:rPr>
        <w:t>0</w:t>
      </w:r>
      <w:r w:rsidR="00E21B3D">
        <w:rPr>
          <w:rFonts w:ascii="Times New Roman" w:hAnsi="Times New Roman" w:cs="Times New Roman"/>
          <w:sz w:val="24"/>
          <w:szCs w:val="24"/>
        </w:rPr>
        <w:t>81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E21B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7B20">
        <w:rPr>
          <w:rFonts w:ascii="Times New Roman" w:hAnsi="Times New Roman" w:cs="Times New Roman"/>
          <w:i w:val="0"/>
          <w:sz w:val="24"/>
          <w:szCs w:val="24"/>
        </w:rPr>
        <w:t>D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DA1806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DA1806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DA1806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CB0585">
        <w:rPr>
          <w:rFonts w:ascii="Times New Roman" w:hAnsi="Times New Roman" w:cs="Times New Roman"/>
          <w:i w:val="0"/>
          <w:sz w:val="24"/>
          <w:szCs w:val="24"/>
        </w:rPr>
        <w:tab/>
      </w:r>
      <w:r w:rsidR="00E21B3D">
        <w:rPr>
          <w:rFonts w:ascii="Times New Roman" w:hAnsi="Times New Roman" w:cs="Times New Roman"/>
          <w:i w:val="0"/>
          <w:sz w:val="24"/>
          <w:szCs w:val="24"/>
        </w:rPr>
        <w:t>190278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possíve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l desagravo público recebido por uma equipe de Enfermagem do Hospital Regional de Mato Grosso do Sul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referente ao que consta nos autos do PAD n. </w:t>
      </w:r>
      <w:r w:rsidR="008A186A">
        <w:rPr>
          <w:rFonts w:ascii="Times New Roman" w:hAnsi="Times New Roman" w:cs="Times New Roman"/>
          <w:i w:val="0"/>
          <w:sz w:val="24"/>
          <w:szCs w:val="24"/>
        </w:rPr>
        <w:t>0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81</w:t>
      </w:r>
      <w:r>
        <w:rPr>
          <w:rFonts w:ascii="Times New Roman" w:hAnsi="Times New Roman" w:cs="Times New Roman"/>
          <w:i w:val="0"/>
          <w:sz w:val="24"/>
          <w:szCs w:val="24"/>
        </w:rPr>
        <w:t>/201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7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E21B3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E1AF7">
        <w:rPr>
          <w:rFonts w:ascii="Times New Roman" w:hAnsi="Times New Roman" w:cs="Times New Roman"/>
          <w:i w:val="0"/>
          <w:sz w:val="24"/>
          <w:szCs w:val="24"/>
        </w:rPr>
        <w:t xml:space="preserve"> terá prazo de 20 (vinte) dias para apresentar o parecer, de acordo com o artigo 2º da Resolução Cofen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Esta portaria entrará em vigor na data da ciência d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21B3D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B75B07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5B07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52CFF" w:rsidRPr="005071C6" w:rsidRDefault="00652CFF" w:rsidP="00652CF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CF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52CFF" w:rsidRPr="00504BD1" w:rsidRDefault="00652CFF" w:rsidP="00652CF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52CFF" w:rsidRPr="00652CFF" w:rsidRDefault="00652CFF" w:rsidP="00652CF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2CFF">
        <w:rPr>
          <w:rFonts w:ascii="Times New Roman" w:hAnsi="Times New Roman" w:cs="Times New Roman"/>
          <w:sz w:val="24"/>
          <w:szCs w:val="24"/>
        </w:rPr>
        <w:t xml:space="preserve">Coren-MS n. 41476                                                             </w:t>
      </w:r>
      <w:proofErr w:type="gramStart"/>
      <w:r w:rsidRPr="00652CFF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Pr="00652CFF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5003A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5003AA" w:rsidSect="00EB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7A" w:rsidRDefault="00C20E7A" w:rsidP="00001480">
      <w:pPr>
        <w:spacing w:after="0" w:line="240" w:lineRule="auto"/>
      </w:pPr>
      <w:r>
        <w:separator/>
      </w:r>
    </w:p>
  </w:endnote>
  <w:end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20E7A" w:rsidRPr="00282966" w:rsidRDefault="00C20E7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20E7A" w:rsidRPr="00282966" w:rsidRDefault="00C20E7A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C20E7A" w:rsidRPr="00C65188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C20E7A" w:rsidRPr="00E71A61" w:rsidRDefault="00C20E7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7A" w:rsidRDefault="00C20E7A" w:rsidP="00001480">
      <w:pPr>
        <w:spacing w:after="0" w:line="240" w:lineRule="auto"/>
      </w:pPr>
      <w:r>
        <w:separator/>
      </w:r>
    </w:p>
  </w:footnote>
  <w:footnote w:type="continuationSeparator" w:id="0">
    <w:p w:rsidR="00C20E7A" w:rsidRDefault="00C20E7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0E7A" w:rsidRDefault="00C20E7A" w:rsidP="002F663E">
    <w:pPr>
      <w:pStyle w:val="Cabealho"/>
    </w:pPr>
  </w:p>
  <w:p w:rsidR="00C20E7A" w:rsidRDefault="00C20E7A" w:rsidP="002F663E">
    <w:pPr>
      <w:pStyle w:val="Cabealho"/>
      <w:jc w:val="center"/>
    </w:pPr>
  </w:p>
  <w:p w:rsidR="00C20E7A" w:rsidRDefault="00C20E7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20E7A" w:rsidRDefault="00C20E7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E7A" w:rsidRDefault="00C20E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172D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77336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01DEE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E70CA"/>
    <w:rsid w:val="004F0F07"/>
    <w:rsid w:val="004F6B3D"/>
    <w:rsid w:val="005003AA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52CFF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498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0557C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0BFE"/>
    <w:rsid w:val="00851B29"/>
    <w:rsid w:val="0086068B"/>
    <w:rsid w:val="00866C53"/>
    <w:rsid w:val="0086721F"/>
    <w:rsid w:val="00872C67"/>
    <w:rsid w:val="008822F7"/>
    <w:rsid w:val="008833C7"/>
    <w:rsid w:val="0088610B"/>
    <w:rsid w:val="008904B1"/>
    <w:rsid w:val="008926DF"/>
    <w:rsid w:val="008A186A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3021"/>
    <w:rsid w:val="00976667"/>
    <w:rsid w:val="0098267E"/>
    <w:rsid w:val="00983016"/>
    <w:rsid w:val="00990902"/>
    <w:rsid w:val="00990AF4"/>
    <w:rsid w:val="00992E1E"/>
    <w:rsid w:val="00993EE6"/>
    <w:rsid w:val="00995A8E"/>
    <w:rsid w:val="00995F32"/>
    <w:rsid w:val="009A0B8F"/>
    <w:rsid w:val="009A1800"/>
    <w:rsid w:val="009A506A"/>
    <w:rsid w:val="009B1F56"/>
    <w:rsid w:val="009B23C0"/>
    <w:rsid w:val="009C34A1"/>
    <w:rsid w:val="009C3811"/>
    <w:rsid w:val="009C45C7"/>
    <w:rsid w:val="009C46BC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0DF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18FB"/>
    <w:rsid w:val="00B04E3B"/>
    <w:rsid w:val="00B11BFE"/>
    <w:rsid w:val="00B1583E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5B07"/>
    <w:rsid w:val="00B76D79"/>
    <w:rsid w:val="00B814D6"/>
    <w:rsid w:val="00B8166F"/>
    <w:rsid w:val="00B87826"/>
    <w:rsid w:val="00B87B20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C7BAA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0E7A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5338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A1806"/>
    <w:rsid w:val="00DA31D8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21B3D"/>
    <w:rsid w:val="00E3042A"/>
    <w:rsid w:val="00E412DB"/>
    <w:rsid w:val="00E43AD4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361B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2F7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201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2016-05-06T17:53:00Z</cp:lastPrinted>
  <dcterms:created xsi:type="dcterms:W3CDTF">2017-08-08T16:50:00Z</dcterms:created>
  <dcterms:modified xsi:type="dcterms:W3CDTF">2017-08-09T11:23:00Z</dcterms:modified>
</cp:coreProperties>
</file>