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1CB4E4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B4BAE">
        <w:rPr>
          <w:b/>
          <w:caps/>
          <w:sz w:val="24"/>
          <w:szCs w:val="24"/>
        </w:rPr>
        <w:t>563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B4BAE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EB4BAE">
        <w:rPr>
          <w:b/>
          <w:caps/>
          <w:sz w:val="24"/>
          <w:szCs w:val="24"/>
        </w:rPr>
        <w:t xml:space="preserve"> SETEMBRO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08757F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B4BAE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0E87E6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B4BAE">
        <w:rPr>
          <w:rFonts w:ascii="Times New Roman" w:hAnsi="Times New Roman" w:cs="Times New Roman"/>
          <w:i w:val="0"/>
          <w:sz w:val="24"/>
          <w:szCs w:val="24"/>
        </w:rPr>
        <w:t>141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4BAE">
        <w:rPr>
          <w:rFonts w:ascii="Times New Roman" w:hAnsi="Times New Roman" w:cs="Times New Roman"/>
          <w:i w:val="0"/>
          <w:sz w:val="24"/>
          <w:szCs w:val="24"/>
        </w:rPr>
        <w:t>possível desagravo público realizado pelo médico Dr. João Roberto de Carvalho Capistrano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CBBFF6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386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38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386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771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E6ACE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BAE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2022-09-27T12:26:00Z</dcterms:created>
  <dcterms:modified xsi:type="dcterms:W3CDTF">2025-02-19T18:38:00Z</dcterms:modified>
</cp:coreProperties>
</file>