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FF492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ED98859" w14:textId="18C11F91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2C68">
        <w:rPr>
          <w:b/>
          <w:caps/>
          <w:sz w:val="24"/>
          <w:szCs w:val="24"/>
        </w:rPr>
        <w:t>673</w:t>
      </w:r>
      <w:r w:rsidRPr="00113914">
        <w:rPr>
          <w:b/>
          <w:caps/>
          <w:sz w:val="24"/>
          <w:szCs w:val="24"/>
        </w:rPr>
        <w:t xml:space="preserve"> de </w:t>
      </w:r>
      <w:r w:rsidR="00A22C68">
        <w:rPr>
          <w:b/>
          <w:caps/>
          <w:sz w:val="24"/>
          <w:szCs w:val="24"/>
        </w:rPr>
        <w:t>23 de novembro</w:t>
      </w:r>
      <w:r>
        <w:rPr>
          <w:b/>
          <w:caps/>
          <w:sz w:val="24"/>
          <w:szCs w:val="24"/>
        </w:rPr>
        <w:t xml:space="preserve"> </w:t>
      </w:r>
      <w:r w:rsidR="000942C7">
        <w:rPr>
          <w:b/>
          <w:caps/>
          <w:sz w:val="24"/>
          <w:szCs w:val="24"/>
        </w:rPr>
        <w:t>de 2022</w:t>
      </w:r>
    </w:p>
    <w:p w14:paraId="5021BC73" w14:textId="77777777" w:rsidR="00B82085" w:rsidRDefault="00B82085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507687" w14:textId="2E1E0139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2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BDFFBBA" w14:textId="535BF36F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C68">
        <w:rPr>
          <w:rFonts w:ascii="Times New Roman" w:hAnsi="Times New Roman" w:cs="Times New Roman"/>
          <w:sz w:val="24"/>
          <w:szCs w:val="24"/>
        </w:rPr>
        <w:t xml:space="preserve">a necessidade de prestar apoio </w:t>
      </w:r>
      <w:r w:rsidR="00B82085">
        <w:rPr>
          <w:rFonts w:ascii="Times New Roman" w:hAnsi="Times New Roman" w:cs="Times New Roman"/>
          <w:sz w:val="24"/>
          <w:szCs w:val="24"/>
        </w:rPr>
        <w:t>nos serviços</w:t>
      </w:r>
      <w:r w:rsidR="00A22C68">
        <w:rPr>
          <w:rFonts w:ascii="Times New Roman" w:hAnsi="Times New Roman" w:cs="Times New Roman"/>
          <w:sz w:val="24"/>
          <w:szCs w:val="24"/>
        </w:rPr>
        <w:t xml:space="preserve"> </w:t>
      </w:r>
      <w:r w:rsidR="00B82085">
        <w:rPr>
          <w:rFonts w:ascii="Times New Roman" w:hAnsi="Times New Roman" w:cs="Times New Roman"/>
          <w:sz w:val="24"/>
          <w:szCs w:val="24"/>
        </w:rPr>
        <w:t>oferta</w:t>
      </w:r>
      <w:r w:rsidR="00A22C68">
        <w:rPr>
          <w:rFonts w:ascii="Times New Roman" w:hAnsi="Times New Roman" w:cs="Times New Roman"/>
          <w:sz w:val="24"/>
          <w:szCs w:val="24"/>
        </w:rPr>
        <w:t>do</w:t>
      </w:r>
      <w:r w:rsidR="00B82085">
        <w:rPr>
          <w:rFonts w:ascii="Times New Roman" w:hAnsi="Times New Roman" w:cs="Times New Roman"/>
          <w:sz w:val="24"/>
          <w:szCs w:val="24"/>
        </w:rPr>
        <w:t>s</w:t>
      </w:r>
      <w:r w:rsidR="00A22C68">
        <w:rPr>
          <w:rFonts w:ascii="Times New Roman" w:hAnsi="Times New Roman" w:cs="Times New Roman"/>
          <w:sz w:val="24"/>
          <w:szCs w:val="24"/>
        </w:rPr>
        <w:t xml:space="preserve"> nas subseções do Conselho Regional de enfermagem de Mato Grosso do Sul, no município de Três Lagoas/ 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E80754" w14:textId="197E8AEC" w:rsidR="005078BD" w:rsidRPr="00B82085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 Coren-MS n. 11084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C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política representativa,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prestação de apoio técnico 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aos serviços ofertados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subseções do Conselho Regional de Enfermagem de Mato Grosso do Sul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, no período de 28 de novembro à 02 de dezembro de 2022, na subseção do Coren, em Três Lagoas/MS.</w:t>
      </w:r>
    </w:p>
    <w:p w14:paraId="6B297442" w14:textId="26A436F5" w:rsidR="00B82085" w:rsidRPr="0009424D" w:rsidRDefault="00B82085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 fará jus a 5 e ½ (cinco e meia) diárias, considerando que a ida no dia 27 de novembro de 2022, e o retorno ocorrerá no dia 02 de dezembro de 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ABF4924" w14:textId="6D1CA6C4" w:rsidR="00A1760E" w:rsidRPr="0009424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</w:t>
      </w:r>
      <w:r w:rsidR="003474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para a</w:t>
      </w:r>
      <w:r w:rsidR="003C0D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A22C68">
        <w:rPr>
          <w:rFonts w:ascii="Times New Roman" w:hAnsi="Times New Roman" w:cs="Times New Roman"/>
          <w:i w:val="0"/>
          <w:iCs w:val="0"/>
          <w:sz w:val="24"/>
          <w:szCs w:val="24"/>
        </w:rPr>
        <w:t>a mesma possa</w:t>
      </w:r>
      <w:r w:rsidR="0009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as atividades</w:t>
      </w:r>
      <w:r w:rsidR="00B820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76545A" w14:textId="0C4B9656" w:rsidR="00D60F7E" w:rsidRPr="001A5CF7" w:rsidRDefault="0009424D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pertencem</w:t>
      </w:r>
      <w:r w:rsidR="00D60F7E" w:rsidRPr="008B0F35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custo</w:t>
      </w:r>
      <w:r w:rsidR="00B82085">
        <w:rPr>
          <w:rFonts w:ascii="Times New Roman" w:hAnsi="Times New Roman" w:cs="Times New Roman"/>
          <w:i w:val="0"/>
          <w:sz w:val="24"/>
          <w:szCs w:val="24"/>
        </w:rPr>
        <w:t xml:space="preserve"> Despesas Adm</w:t>
      </w:r>
      <w:r>
        <w:rPr>
          <w:rFonts w:ascii="Times New Roman" w:hAnsi="Times New Roman" w:cs="Times New Roman"/>
          <w:i w:val="0"/>
          <w:sz w:val="24"/>
          <w:szCs w:val="24"/>
        </w:rPr>
        <w:t>inistrativa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7E80A7D9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>23 de novembro de</w:t>
      </w:r>
      <w:r w:rsidR="0009424D">
        <w:rPr>
          <w:rFonts w:ascii="Times New Roman" w:hAnsi="Times New Roman" w:cs="Times New Roman"/>
          <w:i w:val="0"/>
          <w:sz w:val="24"/>
          <w:szCs w:val="24"/>
        </w:rPr>
        <w:t xml:space="preserve"> 2022.</w:t>
      </w:r>
    </w:p>
    <w:p w14:paraId="4E03A338" w14:textId="39477253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9BF3C" w14:textId="77777777" w:rsidR="00B82085" w:rsidRDefault="00B82085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04DD29D4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</w:t>
      </w:r>
      <w:r w:rsidR="0009424D">
        <w:rPr>
          <w:rFonts w:ascii="Times New Roman" w:hAnsi="Times New Roman" w:cs="Times New Roman"/>
          <w:sz w:val="24"/>
          <w:szCs w:val="24"/>
        </w:rPr>
        <w:t>1</w:t>
      </w:r>
      <w:r w:rsidRPr="00394CB6">
        <w:rPr>
          <w:rFonts w:ascii="Times New Roman" w:hAnsi="Times New Roman" w:cs="Times New Roman"/>
          <w:sz w:val="24"/>
          <w:szCs w:val="24"/>
        </w:rPr>
        <w:t xml:space="preserve"> n. 123978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</w:p>
    <w:p w14:paraId="339A4ECE" w14:textId="41CE15CB" w:rsidR="00B82085" w:rsidRPr="00B82085" w:rsidRDefault="00B82085" w:rsidP="00B82085">
      <w:pPr>
        <w:tabs>
          <w:tab w:val="left" w:pos="3180"/>
        </w:tabs>
      </w:pPr>
      <w:r>
        <w:tab/>
      </w:r>
    </w:p>
    <w:sectPr w:rsidR="00B82085" w:rsidRPr="00B82085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CA8" w14:textId="77777777" w:rsidR="00B82085" w:rsidRPr="00A22F0A" w:rsidRDefault="00B82085" w:rsidP="00B8208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D67216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3E35C6E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BFB1E" wp14:editId="740D87A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30B246" w14:textId="77777777" w:rsidR="00B82085" w:rsidRDefault="00B82085" w:rsidP="00B820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BFB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C30B246" w14:textId="77777777" w:rsidR="00B82085" w:rsidRDefault="00B82085" w:rsidP="00B820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68766F" w14:textId="1343E111" w:rsidR="00C938B2" w:rsidRDefault="00B82085" w:rsidP="00B8208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7788688">
    <w:abstractNumId w:val="3"/>
  </w:num>
  <w:num w:numId="2" w16cid:durableId="1518497817">
    <w:abstractNumId w:val="4"/>
  </w:num>
  <w:num w:numId="3" w16cid:durableId="155386704">
    <w:abstractNumId w:val="1"/>
  </w:num>
  <w:num w:numId="4" w16cid:durableId="152724001">
    <w:abstractNumId w:val="7"/>
  </w:num>
  <w:num w:numId="5" w16cid:durableId="918250649">
    <w:abstractNumId w:val="6"/>
  </w:num>
  <w:num w:numId="6" w16cid:durableId="1676886164">
    <w:abstractNumId w:val="8"/>
  </w:num>
  <w:num w:numId="7" w16cid:durableId="1319459861">
    <w:abstractNumId w:val="0"/>
  </w:num>
  <w:num w:numId="8" w16cid:durableId="1958953152">
    <w:abstractNumId w:val="2"/>
  </w:num>
  <w:num w:numId="9" w16cid:durableId="2005206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24D"/>
    <w:rsid w:val="000942C7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26DD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CF7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44A"/>
    <w:rsid w:val="00353AB5"/>
    <w:rsid w:val="003543FD"/>
    <w:rsid w:val="003568E2"/>
    <w:rsid w:val="00356E8B"/>
    <w:rsid w:val="00371C0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0D0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6835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1806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670D8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0C67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464C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2C68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9D7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2085"/>
    <w:rsid w:val="00B86210"/>
    <w:rsid w:val="00B86480"/>
    <w:rsid w:val="00B86FBD"/>
    <w:rsid w:val="00B952EF"/>
    <w:rsid w:val="00BB083A"/>
    <w:rsid w:val="00BB3B12"/>
    <w:rsid w:val="00BB3D93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492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2025-02-19T18:41:00Z</cp:lastPrinted>
  <dcterms:created xsi:type="dcterms:W3CDTF">2022-11-23T15:11:00Z</dcterms:created>
  <dcterms:modified xsi:type="dcterms:W3CDTF">2025-02-19T18:41:00Z</dcterms:modified>
</cp:coreProperties>
</file>