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1BA55A6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A7A26">
        <w:rPr>
          <w:b/>
          <w:caps/>
          <w:sz w:val="24"/>
          <w:szCs w:val="24"/>
        </w:rPr>
        <w:t>128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A7A26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04EC858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16E9B">
        <w:rPr>
          <w:rFonts w:ascii="Times New Roman" w:hAnsi="Times New Roman" w:cs="Times New Roman"/>
          <w:sz w:val="24"/>
          <w:szCs w:val="24"/>
        </w:rPr>
        <w:t>10</w:t>
      </w:r>
      <w:r w:rsidR="00BD03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6420F3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394" w:rsidRPr="003B11D5">
        <w:rPr>
          <w:rFonts w:ascii="Times New Roman" w:hAnsi="Times New Roman" w:cs="Times New Roman"/>
          <w:i w:val="0"/>
          <w:sz w:val="24"/>
          <w:szCs w:val="24"/>
        </w:rPr>
        <w:t>Sr. Aparecido Vieira Carvalho, Coren-MS n. 218938-TE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106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23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Sra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Brennda Carolina Gonçalves Oliveira Alves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1565175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-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TE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2A22FA4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7A26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B1C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1E34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A7A26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C75D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0394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E9B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2023-02-14T18:52:00Z</dcterms:created>
  <dcterms:modified xsi:type="dcterms:W3CDTF">2025-02-19T19:21:00Z</dcterms:modified>
</cp:coreProperties>
</file>