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CF704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5734C">
        <w:rPr>
          <w:b/>
          <w:caps/>
          <w:sz w:val="24"/>
          <w:szCs w:val="24"/>
        </w:rPr>
        <w:t>016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68F6">
        <w:rPr>
          <w:b/>
          <w:caps/>
          <w:sz w:val="24"/>
          <w:szCs w:val="24"/>
        </w:rPr>
        <w:t>0</w:t>
      </w:r>
      <w:r w:rsidR="006842F7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3E68F6">
        <w:rPr>
          <w:b/>
          <w:caps/>
          <w:sz w:val="24"/>
          <w:szCs w:val="24"/>
        </w:rPr>
        <w:t>janeiro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3E68F6">
        <w:rPr>
          <w:b/>
          <w:caps/>
          <w:sz w:val="24"/>
          <w:szCs w:val="24"/>
        </w:rPr>
        <w:t>4.</w:t>
      </w:r>
    </w:p>
    <w:p w14:paraId="16866CEB" w14:textId="77777777" w:rsidR="00E23CDE" w:rsidRDefault="00E23CDE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9AFC98B" w14:textId="5907AD0B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1C472599" w14:textId="77777777" w:rsidR="00E23CDE" w:rsidRDefault="00E23CDE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33CA5F6C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3E68F6">
        <w:rPr>
          <w:rFonts w:ascii="Times New Roman" w:hAnsi="Times New Roman" w:cs="Times New Roman"/>
          <w:sz w:val="24"/>
          <w:szCs w:val="24"/>
        </w:rPr>
        <w:t>321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2C10D5">
        <w:rPr>
          <w:rFonts w:ascii="Times New Roman" w:hAnsi="Times New Roman" w:cs="Times New Roman"/>
          <w:sz w:val="24"/>
          <w:szCs w:val="24"/>
        </w:rPr>
        <w:t>23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E68F6">
        <w:rPr>
          <w:rFonts w:ascii="Times New Roman" w:hAnsi="Times New Roman" w:cs="Times New Roman"/>
          <w:iCs/>
          <w:sz w:val="24"/>
          <w:szCs w:val="24"/>
        </w:rPr>
        <w:t>operações de cartões de débitos e cr</w:t>
      </w:r>
      <w:r w:rsidR="002A2BE2">
        <w:rPr>
          <w:rFonts w:ascii="Times New Roman" w:hAnsi="Times New Roman" w:cs="Times New Roman"/>
          <w:iCs/>
          <w:sz w:val="24"/>
          <w:szCs w:val="24"/>
        </w:rPr>
        <w:t>éditos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7E2664D" w14:textId="77777777" w:rsidR="00E23CDE" w:rsidRPr="00C51793" w:rsidRDefault="00E23CDE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7239A9EB" w14:textId="43FF0FE4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Sr. </w:t>
      </w:r>
      <w:r w:rsidR="00CB4C18">
        <w:rPr>
          <w:rFonts w:ascii="Times New Roman" w:hAnsi="Times New Roman" w:cs="Times New Roman"/>
          <w:i w:val="0"/>
          <w:sz w:val="24"/>
          <w:szCs w:val="24"/>
        </w:rPr>
        <w:t>João Paulo Ferreira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</w:t>
      </w:r>
      <w:r w:rsidR="002A2BE2" w:rsidRPr="002A2BE2">
        <w:rPr>
          <w:rFonts w:ascii="Times New Roman" w:hAnsi="Times New Roman" w:cs="Times New Roman"/>
          <w:i w:val="0"/>
          <w:sz w:val="24"/>
          <w:szCs w:val="24"/>
        </w:rPr>
        <w:t>operações de cartões de débitos e crédito</w:t>
      </w:r>
      <w:r w:rsidR="002C10D5" w:rsidRPr="002C10D5">
        <w:rPr>
          <w:rFonts w:ascii="Times New Roman" w:hAnsi="Times New Roman" w:cs="Times New Roman"/>
          <w:i w:val="0"/>
          <w:sz w:val="24"/>
          <w:szCs w:val="24"/>
        </w:rPr>
        <w:t>s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6D6396" w14:textId="77777777" w:rsidR="00A41229" w:rsidRPr="00C040ED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938905D" w14:textId="3FDEFA7C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321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2A047F" w14:textId="77777777" w:rsidR="00A41229" w:rsidRPr="00061725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6FA27" w14:textId="15D54709" w:rsidR="00061725" w:rsidRPr="00A4122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C18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Osvaldo Sanches Junio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62F20A1C" w14:textId="77777777" w:rsidR="00A41229" w:rsidRPr="002A2BE2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CBA92" w14:textId="637B661F" w:rsidR="002A2BE2" w:rsidRPr="00A41229" w:rsidRDefault="002A2BE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complexidade da execução contratual, designa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9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r w:rsidR="00A41229" w:rsidRPr="00A41229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 w:rsidR="00A41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Francielli Schneider Brusamarello e </w:t>
      </w:r>
      <w:r w:rsidR="00A41229" w:rsidRPr="00A41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Silva,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técnico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ADE3C3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780BE4B" w14:textId="77777777" w:rsidR="00A41229" w:rsidRPr="00C51793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F2B7FF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0</w:t>
      </w:r>
      <w:r w:rsidR="006842F7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42E8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95D4B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2025-02-20T15:33:00Z</cp:lastPrinted>
  <dcterms:created xsi:type="dcterms:W3CDTF">2024-01-10T16:12:00Z</dcterms:created>
  <dcterms:modified xsi:type="dcterms:W3CDTF">2025-02-20T15:33:00Z</dcterms:modified>
</cp:coreProperties>
</file>