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2EB3205D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1</w:t>
      </w:r>
      <w:r w:rsidR="00A52282">
        <w:rPr>
          <w:b/>
          <w:caps/>
          <w:sz w:val="24"/>
          <w:szCs w:val="24"/>
        </w:rPr>
        <w:t>9</w:t>
      </w:r>
      <w:r w:rsidR="0066486B">
        <w:rPr>
          <w:b/>
          <w:caps/>
          <w:sz w:val="24"/>
          <w:szCs w:val="24"/>
        </w:rPr>
        <w:t>6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2282">
        <w:rPr>
          <w:b/>
          <w:caps/>
          <w:sz w:val="24"/>
          <w:szCs w:val="24"/>
        </w:rPr>
        <w:t>22 de abril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487BB534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7694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84F5D" w14:textId="57395E26" w:rsidR="00A52282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>deliberação da 513ª Reunião Ordinária de Plenário, realizada nos dias 18, 19 e 20 de dezembro de 2024</w:t>
      </w:r>
      <w:r w:rsidR="00A5228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95F5F57" w14:textId="1AFC9E57" w:rsidR="00A52282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282">
        <w:rPr>
          <w:rFonts w:ascii="Times New Roman" w:hAnsi="Times New Roman" w:cs="Times New Roman"/>
          <w:bCs/>
          <w:sz w:val="24"/>
          <w:szCs w:val="24"/>
        </w:rPr>
        <w:t>a Resolução Cofen n. 768/2024</w:t>
      </w:r>
      <w:r>
        <w:rPr>
          <w:rFonts w:ascii="Times New Roman" w:hAnsi="Times New Roman" w:cs="Times New Roman"/>
          <w:bCs/>
          <w:sz w:val="24"/>
          <w:szCs w:val="24"/>
        </w:rPr>
        <w:t>, Artigo 5º inciso 7, a composição d</w:t>
      </w:r>
      <w:r w:rsidR="0067694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</w:t>
      </w:r>
      <w:r w:rsidR="00676946">
        <w:rPr>
          <w:rFonts w:ascii="Times New Roman" w:hAnsi="Times New Roman" w:cs="Times New Roman"/>
          <w:bCs/>
          <w:sz w:val="24"/>
          <w:szCs w:val="24"/>
        </w:rPr>
        <w:t>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</w:t>
      </w:r>
      <w:r w:rsidRPr="00A52282">
        <w:rPr>
          <w:rFonts w:ascii="Times New Roman" w:hAnsi="Times New Roman" w:cs="Times New Roman"/>
          <w:bCs/>
          <w:sz w:val="24"/>
          <w:szCs w:val="24"/>
        </w:rPr>
        <w:t xml:space="preserve"> de 2/3 feminina</w:t>
      </w:r>
      <w:r>
        <w:rPr>
          <w:rFonts w:ascii="Times New Roman" w:hAnsi="Times New Roman" w:cs="Times New Roman"/>
          <w:bCs/>
          <w:sz w:val="24"/>
          <w:szCs w:val="24"/>
        </w:rPr>
        <w:t>; e</w:t>
      </w:r>
    </w:p>
    <w:p w14:paraId="0454AFA9" w14:textId="5B0DC13A" w:rsidR="0062221B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da 146ª Reunião Ordinária de Diretoria, substituição de membro d</w:t>
      </w:r>
      <w:r w:rsidR="000E111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E1115" w:rsidRPr="00CD13D5">
        <w:rPr>
          <w:rFonts w:ascii="Times New Roman" w:hAnsi="Times New Roman" w:cs="Times New Roman"/>
          <w:b/>
          <w:sz w:val="24"/>
          <w:szCs w:val="24"/>
        </w:rPr>
        <w:t>Comissão de Política de Prevenção e Enfrentamento ao Assédio Moral / Assédio Sexual e à Discriminação</w:t>
      </w:r>
      <w:r w:rsidR="000E11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49500A60" w:rsidR="006122B3" w:rsidRPr="006122B3" w:rsidRDefault="00A52282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0F444EEA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utoriza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substituição do Conselheiro Sr. Patrick da Silva Gutierres pela Conselheira Dra. Elaine Cristina F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es Baez Sar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52282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, como membro do 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90862D" w14:textId="77777777" w:rsidR="000E1115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1DF1A1" w14:textId="77777777" w:rsidR="000E1115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AD9B9" w14:textId="77777777" w:rsidR="000E1115" w:rsidRPr="003D49D6" w:rsidRDefault="000E111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0E111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59FC857E" w:rsidR="005437A5" w:rsidRDefault="005437A5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titular)</w:t>
      </w:r>
    </w:p>
    <w:p w14:paraId="7DFF1C64" w14:textId="1966A71C" w:rsidR="005437A5" w:rsidRDefault="005437A5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(mem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suplente) </w:t>
      </w:r>
    </w:p>
    <w:p w14:paraId="38817C90" w14:textId="72AEE316" w:rsidR="003D49D6" w:rsidRDefault="002A081F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47364222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de 14 de abril de 2025,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0FA2590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>22 de abril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6B16C6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89C25C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4B5EF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37949241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59BB87D3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A569D0C" w14:textId="77777777" w:rsidR="00676946" w:rsidRPr="00745064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426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FC9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2025-07-22T17:32:00Z</cp:lastPrinted>
  <dcterms:created xsi:type="dcterms:W3CDTF">2025-04-22T19:20:00Z</dcterms:created>
  <dcterms:modified xsi:type="dcterms:W3CDTF">2025-07-22T17:33:00Z</dcterms:modified>
</cp:coreProperties>
</file>