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9CBF57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A6F58">
        <w:rPr>
          <w:b/>
          <w:caps/>
          <w:sz w:val="24"/>
          <w:szCs w:val="24"/>
        </w:rPr>
        <w:t>075</w:t>
      </w:r>
      <w:r w:rsidRPr="00113914">
        <w:rPr>
          <w:b/>
          <w:caps/>
          <w:sz w:val="24"/>
          <w:szCs w:val="24"/>
        </w:rPr>
        <w:t xml:space="preserve"> de </w:t>
      </w:r>
      <w:r w:rsidR="000A6F5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="000A6F58">
        <w:rPr>
          <w:b/>
          <w:caps/>
          <w:sz w:val="24"/>
          <w:szCs w:val="24"/>
        </w:rPr>
        <w:t>de fevereiro de 2022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2D96DCA9" w14:textId="77777777" w:rsidR="00F47C72" w:rsidRDefault="00923DD8" w:rsidP="00F47C7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47C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47C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47C72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2546A134"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D91E15">
        <w:rPr>
          <w:rFonts w:ascii="Times New Roman" w:hAnsi="Times New Roman" w:cs="Times New Roman"/>
          <w:sz w:val="24"/>
          <w:szCs w:val="24"/>
        </w:rPr>
        <w:t>;</w:t>
      </w:r>
    </w:p>
    <w:p w14:paraId="5B8773F7" w14:textId="77777777" w:rsidR="000A6F58" w:rsidRDefault="000A6F58" w:rsidP="000A6F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término das obras de adequações no imóvel que sediará a subseção do Coren, no município de Três Lagoas/MS;</w:t>
      </w:r>
    </w:p>
    <w:p w14:paraId="7A48A5CA" w14:textId="39A21C4E" w:rsidR="000A6F58" w:rsidRDefault="000A6F58" w:rsidP="000A6F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F5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entrega do imóvel e assinatura da Escritura Pública</w:t>
      </w:r>
      <w:r w:rsidR="00D91E15">
        <w:rPr>
          <w:rFonts w:ascii="Times New Roman" w:hAnsi="Times New Roman" w:cs="Times New Roman"/>
          <w:bCs/>
          <w:sz w:val="24"/>
          <w:szCs w:val="24"/>
        </w:rPr>
        <w:t xml:space="preserve"> de compra e venda</w:t>
      </w:r>
      <w:r w:rsidR="000416EE">
        <w:rPr>
          <w:rFonts w:ascii="Times New Roman" w:hAnsi="Times New Roman" w:cs="Times New Roman"/>
          <w:bCs/>
          <w:sz w:val="24"/>
          <w:szCs w:val="24"/>
        </w:rPr>
        <w:t>,</w:t>
      </w:r>
      <w:r w:rsidR="00BD3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bCs/>
          <w:sz w:val="24"/>
          <w:szCs w:val="24"/>
        </w:rPr>
        <w:t xml:space="preserve">baixam as seguintes determinações: </w:t>
      </w:r>
    </w:p>
    <w:p w14:paraId="4A849EFC" w14:textId="044DB63C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>Procurador geral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os membros da Comissão organizadora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imóveis para sediar a subseção de Três Lagoas/MS a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</w:t>
      </w:r>
      <w:r w:rsidR="00427AA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AA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Assessor Técnico de nível superior 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>Arquiteto Sr. Bruno Henrique dos Santos Ferreira,</w:t>
      </w:r>
      <w:r w:rsidR="00D9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vistoria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reformas de adequações,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>o recebimento do imóvel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, bem como a assinatura da Escritura Pública de compra e venda, do imóvel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irá sedi</w:t>
      </w:r>
      <w:r w:rsidR="00BD3060">
        <w:rPr>
          <w:rFonts w:ascii="Times New Roman" w:hAnsi="Times New Roman" w:cs="Times New Roman"/>
          <w:i w:val="0"/>
          <w:iCs w:val="0"/>
          <w:sz w:val="24"/>
          <w:szCs w:val="24"/>
        </w:rPr>
        <w:t>ar a subseção do Coren/MS, no município de Três Lagoas/MS,</w:t>
      </w:r>
      <w:r w:rsidR="00C324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3060">
        <w:rPr>
          <w:rFonts w:ascii="Times New Roman" w:hAnsi="Times New Roman" w:cs="Times New Roman"/>
          <w:i w:val="0"/>
          <w:iCs w:val="0"/>
          <w:sz w:val="24"/>
          <w:szCs w:val="24"/>
        </w:rPr>
        <w:t>nos dias 10 e 11 de fevereiro de 2022.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6703CC0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o Procurador geral Dr. Douglas da Costa Cardoso, os membros da Comissão organizadora para aquisição de imóveis para sediar a subseção de Três Lagoas/MS, Conselheira Dra. Lucyana Conceição Lemes Justino, Coren-MS n.</w:t>
      </w:r>
      <w:r w:rsidR="00FE6AF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FE6AF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Meire Benites de Souza, e o Assessor Técnico de nível superior Arquiteto Sr. Bruno Henrique dos Santos Ferreira,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20B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41214DB2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n.85775, o Procurador geral Dr. Douglas da Costa Cardoso, e os membros da Comissão organizadora para aquisição de imóveis para sediar a subseção de Três Lagoas/MS a Conselheira Dra. Lucyana Conceição Lemes Justino, Coren-MS n.</w:t>
      </w:r>
      <w:r w:rsidR="00FE6AF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FE6AF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Souza, e o Assessor Técnico de nível superior Arquiteto Sr. Bruno Henrique dos Santos Ferreira,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possam realizar as atividades.</w:t>
      </w:r>
    </w:p>
    <w:p w14:paraId="5F78CEDD" w14:textId="40B37A2F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e a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Dra. Lucyana Conceição Lemes Justino,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dias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10 e 11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fevereiro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EF19925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fevereiro de 2022.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1281099">
    <w:abstractNumId w:val="3"/>
  </w:num>
  <w:num w:numId="2" w16cid:durableId="1225411603">
    <w:abstractNumId w:val="4"/>
  </w:num>
  <w:num w:numId="3" w16cid:durableId="1030375404">
    <w:abstractNumId w:val="1"/>
  </w:num>
  <w:num w:numId="4" w16cid:durableId="1545604200">
    <w:abstractNumId w:val="7"/>
  </w:num>
  <w:num w:numId="5" w16cid:durableId="585378701">
    <w:abstractNumId w:val="6"/>
  </w:num>
  <w:num w:numId="6" w16cid:durableId="124007948">
    <w:abstractNumId w:val="8"/>
  </w:num>
  <w:num w:numId="7" w16cid:durableId="1153990420">
    <w:abstractNumId w:val="0"/>
  </w:num>
  <w:num w:numId="8" w16cid:durableId="1354069978">
    <w:abstractNumId w:val="2"/>
  </w:num>
  <w:num w:numId="9" w16cid:durableId="1679036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6EE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A6F58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03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060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4E9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0B8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1E15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47C72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AFE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2025-10-10T00:43:00Z</cp:lastPrinted>
  <dcterms:created xsi:type="dcterms:W3CDTF">2022-02-08T14:37:00Z</dcterms:created>
  <dcterms:modified xsi:type="dcterms:W3CDTF">2025-10-10T00:43:00Z</dcterms:modified>
</cp:coreProperties>
</file>