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132217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B071E">
        <w:rPr>
          <w:b/>
          <w:caps/>
          <w:sz w:val="24"/>
          <w:szCs w:val="24"/>
        </w:rPr>
        <w:t>0</w:t>
      </w:r>
      <w:r w:rsidR="00383CBF">
        <w:rPr>
          <w:b/>
          <w:caps/>
          <w:sz w:val="24"/>
          <w:szCs w:val="24"/>
        </w:rPr>
        <w:t>8</w:t>
      </w:r>
      <w:r w:rsidR="00AD7C76">
        <w:rPr>
          <w:b/>
          <w:caps/>
          <w:sz w:val="24"/>
          <w:szCs w:val="24"/>
        </w:rPr>
        <w:t>1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D7C76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B865DFF" w14:textId="0B589A82" w:rsidR="0062221B" w:rsidRPr="00C51793" w:rsidRDefault="0067164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76">
        <w:rPr>
          <w:rFonts w:ascii="Times New Roman" w:hAnsi="Times New Roman" w:cs="Times New Roman"/>
          <w:sz w:val="24"/>
          <w:szCs w:val="24"/>
        </w:rPr>
        <w:t xml:space="preserve">o Artigo 49ª, inciso VIII do Regimento Interno do Conselho Regional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B6365" w14:textId="72962BA3" w:rsidR="00DB071E" w:rsidRPr="001C5663" w:rsidRDefault="00AD7C76" w:rsidP="00AD7C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Revoga-se a Portaria n. 110 do dia 10 de março de 2022.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B5316" w14:textId="2DC22D8C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7C76">
        <w:rPr>
          <w:rFonts w:ascii="Times New Roman" w:hAnsi="Times New Roman" w:cs="Times New Roman"/>
          <w:i w:val="0"/>
          <w:iCs w:val="0"/>
          <w:sz w:val="24"/>
          <w:szCs w:val="24"/>
        </w:rPr>
        <w:t>a assinatura,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39E12" w14:textId="77777777" w:rsidR="00DB071E" w:rsidRPr="00C51793" w:rsidRDefault="00DB071E" w:rsidP="00DB07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DBC42" w14:textId="24A9FE3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D7C76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7C76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224C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2025-10-10T01:03:00Z</cp:lastPrinted>
  <dcterms:created xsi:type="dcterms:W3CDTF">2023-01-26T18:52:00Z</dcterms:created>
  <dcterms:modified xsi:type="dcterms:W3CDTF">2025-10-10T01:03:00Z</dcterms:modified>
</cp:coreProperties>
</file>