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444EA8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 </w:t>
      </w:r>
      <w:r w:rsidR="00444EA8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4EA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26DE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26DE1">
        <w:rPr>
          <w:rFonts w:ascii="Times New Roman" w:hAnsi="Times New Roman" w:cs="Times New Roman"/>
          <w:sz w:val="24"/>
          <w:szCs w:val="24"/>
        </w:rPr>
        <w:t xml:space="preserve"> n. 144/2014, que criou no âmbito do </w:t>
      </w:r>
      <w:proofErr w:type="spellStart"/>
      <w:r w:rsid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26DE1">
        <w:rPr>
          <w:rFonts w:ascii="Times New Roman" w:hAnsi="Times New Roman" w:cs="Times New Roman"/>
          <w:sz w:val="24"/>
          <w:szCs w:val="24"/>
        </w:rPr>
        <w:t>-MS o cargo em comissão de Assessoria de Comunicação e Imprensa,</w:t>
      </w:r>
      <w:r w:rsidR="00E26DE1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E26DE1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comissionado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</w:t>
      </w:r>
      <w:proofErr w:type="spellStart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Batista, RG n. 40.583.669.7 SSP/SP e CPF n. 406.963.188-73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cargo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em comissão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Assessor de Comunicação e Imprensa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 w:rsidR="00D951F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951F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0F5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comissionado </w:t>
      </w:r>
      <w:r w:rsidR="00E26D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444E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não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>jará jus ao recebimento de verbas indenizatórias de aviso prévio e multa sobre FGTS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da Resolução </w:t>
      </w:r>
      <w:proofErr w:type="spellStart"/>
      <w:r w:rsidR="000868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444EA8">
        <w:rPr>
          <w:rFonts w:ascii="Times New Roman" w:hAnsi="Times New Roman" w:cs="Times New Roman"/>
          <w:i w:val="0"/>
          <w:sz w:val="24"/>
          <w:szCs w:val="24"/>
        </w:rPr>
        <w:t>1º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EA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EA8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EA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6DE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6DE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26DE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C85A-CC74-4436-B706-FF8D7D6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2019-04-29T16:35:00Z</cp:lastPrinted>
  <dcterms:created xsi:type="dcterms:W3CDTF">2019-04-29T16:30:00Z</dcterms:created>
  <dcterms:modified xsi:type="dcterms:W3CDTF">2019-04-29T16:36:00Z</dcterms:modified>
</cp:coreProperties>
</file>