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2EED109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2E2AFB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0A8FCB8A" w:rsidR="007869F1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295, que aprova o novo organograma institucional que dispõe sobre a Estrutura Organizacional do Coren-MS</w:t>
      </w:r>
      <w:r w:rsidR="001435B4">
        <w:rPr>
          <w:rFonts w:ascii="Times New Roman" w:hAnsi="Times New Roman" w:cs="Times New Roman"/>
          <w:sz w:val="24"/>
          <w:szCs w:val="24"/>
        </w:rPr>
        <w:t>;</w:t>
      </w:r>
    </w:p>
    <w:p w14:paraId="4AC60B8C" w14:textId="4DE2E6DB" w:rsidR="001435B4" w:rsidRPr="00C51793" w:rsidRDefault="001435B4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33557EE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Celso Siqueira Filho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001887153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048.563.561-51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hefe de Gabinete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56173F62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quatro mil quatrocentos e quarenta e quatro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9A045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019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19FD">
        <w:rPr>
          <w:rFonts w:ascii="Times New Roman" w:hAnsi="Times New Roman" w:cs="Times New Roman"/>
          <w:i w:val="0"/>
          <w:iCs w:val="0"/>
          <w:sz w:val="24"/>
          <w:szCs w:val="24"/>
        </w:rPr>
        <w:t>Dr. Celso Siqueira Filho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EC53E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2021, revogadas as disposições em contrário, em especial a Portaria nº </w:t>
      </w:r>
      <w:r w:rsidR="00DE4BB9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DE4BB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4BB9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DE4BB9" w:rsidRPr="00DE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DE4BB9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8401427">
    <w:abstractNumId w:val="3"/>
  </w:num>
  <w:num w:numId="2" w16cid:durableId="1759859930">
    <w:abstractNumId w:val="4"/>
  </w:num>
  <w:num w:numId="3" w16cid:durableId="937298048">
    <w:abstractNumId w:val="1"/>
  </w:num>
  <w:num w:numId="4" w16cid:durableId="2095517816">
    <w:abstractNumId w:val="7"/>
  </w:num>
  <w:num w:numId="5" w16cid:durableId="871654607">
    <w:abstractNumId w:val="6"/>
  </w:num>
  <w:num w:numId="6" w16cid:durableId="766467043">
    <w:abstractNumId w:val="8"/>
  </w:num>
  <w:num w:numId="7" w16cid:durableId="1224172372">
    <w:abstractNumId w:val="0"/>
  </w:num>
  <w:num w:numId="8" w16cid:durableId="1835074041">
    <w:abstractNumId w:val="2"/>
  </w:num>
  <w:num w:numId="9" w16cid:durableId="102962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35B4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1F6E7B"/>
    <w:rsid w:val="002019FD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E4BB9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C53E0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